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1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6B7318" w:rsidRDefault="006B7318" w:rsidP="00E632D2">
            <w:pPr>
              <w:rPr>
                <w:szCs w:val="20"/>
              </w:rPr>
            </w:pPr>
            <w:r w:rsidRPr="006B7318">
              <w:rPr>
                <w:szCs w:val="20"/>
              </w:rPr>
              <w:t xml:space="preserve">Начальнику Управления опеки и попечительства администрации </w:t>
            </w:r>
          </w:p>
          <w:p w:rsidR="00BD09BC" w:rsidRDefault="006B7318" w:rsidP="00E632D2">
            <w:pPr>
              <w:rPr>
                <w:szCs w:val="20"/>
              </w:rPr>
            </w:pPr>
            <w:r w:rsidRPr="006B7318">
              <w:rPr>
                <w:szCs w:val="20"/>
              </w:rPr>
              <w:t>Белоярского района</w:t>
            </w:r>
          </w:p>
          <w:p w:rsidR="006B7318" w:rsidRPr="00885ECF" w:rsidRDefault="006B7318" w:rsidP="006B7318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А.Н. </w:t>
            </w:r>
            <w:proofErr w:type="spellStart"/>
            <w:r>
              <w:rPr>
                <w:rFonts w:eastAsia="Calibri"/>
                <w:lang w:eastAsia="en-US"/>
              </w:rPr>
              <w:t>Байдаковой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8444FE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от 2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февраля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         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5D4A08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8444FE">
        <w:t>2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>, утвержденного распоряжением Комитета по финансам и налоговой политике администрации Белоярского района от 25 декабря 2014 года № 19-р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>проверка по</w:t>
      </w:r>
      <w:r w:rsidR="00FD187B">
        <w:t xml:space="preserve"> соблюдени</w:t>
      </w:r>
      <w:r w:rsidR="008444FE">
        <w:t>ю</w:t>
      </w:r>
      <w:r w:rsidR="00FD187B" w:rsidRPr="00FD187B">
        <w:t xml:space="preserve"> законодательства</w:t>
      </w:r>
      <w:proofErr w:type="gramEnd"/>
      <w:r w:rsidR="00FD187B" w:rsidRPr="00FD187B">
        <w:t xml:space="preserve">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6B7318">
        <w:t>Управлении опеки и попечит</w:t>
      </w:r>
      <w:r w:rsidR="00E10EE4">
        <w:t>е</w:t>
      </w:r>
      <w:r w:rsidR="006B7318">
        <w:t>льства</w:t>
      </w:r>
      <w:r w:rsidR="005D4A08">
        <w:t xml:space="preserve"> администрации Белоярского района (далее – </w:t>
      </w:r>
      <w:r w:rsidR="00E10EE4">
        <w:t>Управление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E10EE4">
        <w:t xml:space="preserve"> замечания и</w:t>
      </w:r>
      <w:r w:rsidR="005D4A08">
        <w:t xml:space="preserve"> нарушения</w:t>
      </w:r>
      <w:r w:rsidR="008874DA">
        <w:t>:</w:t>
      </w:r>
    </w:p>
    <w:p w:rsidR="00E10EE4" w:rsidRPr="00846D90" w:rsidRDefault="00DE7681" w:rsidP="00E10EE4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52-2013 от 01 января 2013 года, заключенного с ФГУП «Почта России», </w:t>
      </w:r>
      <w:r w:rsidRPr="00846D90">
        <w:t>Управление произвело</w:t>
      </w:r>
      <w:r w:rsidR="006727F1" w:rsidRPr="00846D90">
        <w:t xml:space="preserve"> переплату суммы договора согласованной сторонами. </w:t>
      </w:r>
      <w:r w:rsidR="00E10EE4" w:rsidRPr="00846D90">
        <w:t>Согласно условиям договора, сумма обязатель</w:t>
      </w:r>
      <w:proofErr w:type="gramStart"/>
      <w:r w:rsidR="00E10EE4" w:rsidRPr="00846D90">
        <w:t>ств ст</w:t>
      </w:r>
      <w:proofErr w:type="gramEnd"/>
      <w:r w:rsidR="00E10EE4" w:rsidRPr="00846D90">
        <w:t>орон составляет 10000,00 рублей, фактически оплачено Управлением 19918,95 рублей, фактически услуги оказаны на сумму 19918,95 рублей. Соглашение об увеличении суммы обязатель</w:t>
      </w:r>
      <w:proofErr w:type="gramStart"/>
      <w:r w:rsidR="00E10EE4" w:rsidRPr="00846D90">
        <w:t>ств ст</w:t>
      </w:r>
      <w:proofErr w:type="gramEnd"/>
      <w:r w:rsidR="00E10EE4" w:rsidRPr="00846D90">
        <w:t xml:space="preserve">орон по договору </w:t>
      </w:r>
      <w:r w:rsidR="006727F1" w:rsidRPr="00846D90">
        <w:t>заключено не было</w:t>
      </w:r>
      <w:r w:rsidR="00E10EE4" w:rsidRPr="00846D90">
        <w:t>.</w:t>
      </w:r>
    </w:p>
    <w:p w:rsidR="00E10EE4" w:rsidRPr="00846D90" w:rsidRDefault="006727F1" w:rsidP="00E10EE4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2013-53 от 01 января 2013 года, заключенного с ФГУП «Почта России», </w:t>
      </w:r>
      <w:r w:rsidRPr="00846D90">
        <w:t xml:space="preserve">Управление произвело переплату суммы договора согласованной сторонами. </w:t>
      </w:r>
      <w:r w:rsidR="00E10EE4" w:rsidRPr="00846D90">
        <w:t>Согласно условиям договора, сумма обязатель</w:t>
      </w:r>
      <w:proofErr w:type="gramStart"/>
      <w:r w:rsidR="00E10EE4" w:rsidRPr="00846D90">
        <w:t>ств ст</w:t>
      </w:r>
      <w:proofErr w:type="gramEnd"/>
      <w:r w:rsidR="00E10EE4" w:rsidRPr="00846D90">
        <w:t xml:space="preserve">орон составляет 6000,00 рублей, фактически оплачено Управлением 20740,37 рублей, фактически услуги оказаны на </w:t>
      </w:r>
      <w:r w:rsidR="00E10EE4" w:rsidRPr="00846D90">
        <w:lastRenderedPageBreak/>
        <w:t xml:space="preserve">сумму 20740,37 рублей. </w:t>
      </w:r>
      <w:r w:rsidRPr="00846D90">
        <w:t>Соглашение об увеличении суммы обязатель</w:t>
      </w:r>
      <w:proofErr w:type="gramStart"/>
      <w:r w:rsidRPr="00846D90">
        <w:t>ств ст</w:t>
      </w:r>
      <w:proofErr w:type="gramEnd"/>
      <w:r w:rsidRPr="00846D90">
        <w:t>орон по договору заключено не было.</w:t>
      </w:r>
    </w:p>
    <w:p w:rsidR="00E10EE4" w:rsidRPr="00846D90" w:rsidRDefault="000A7FDD" w:rsidP="00E10EE4">
      <w:pPr>
        <w:ind w:firstLine="709"/>
        <w:jc w:val="both"/>
      </w:pPr>
      <w:r w:rsidRPr="00846D90">
        <w:t xml:space="preserve">- при окончании срока действия договора </w:t>
      </w:r>
      <w:r w:rsidR="00E10EE4" w:rsidRPr="00846D90">
        <w:t xml:space="preserve">№ 2013-095 от 01 января 2013 года, заключенного с ФГУП «Почта России», </w:t>
      </w:r>
      <w:r w:rsidRPr="00846D90">
        <w:t xml:space="preserve">не было заключено соглашение о расторжении договора на сумму неисполненных обязательств, принятых на себя сторонами. </w:t>
      </w:r>
      <w:r w:rsidR="00E10EE4" w:rsidRPr="00846D90">
        <w:t>Согласно условиям договора, сумма обязательств составляет 3000,00 рублей, фактически обязательства по договору исполнены сторонами на сумму 2795,00 рублей. Сумма неисполненных обязательств составляет 205</w:t>
      </w:r>
      <w:r w:rsidRPr="00846D90">
        <w:t>,00 рублей.</w:t>
      </w:r>
    </w:p>
    <w:p w:rsidR="00E10EE4" w:rsidRPr="00846D90" w:rsidRDefault="000A7FDD" w:rsidP="00E10EE4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190 от 22 апреля 2013 года, заключенного с ОАО «Ростелеком», </w:t>
      </w:r>
      <w:r w:rsidRPr="00846D90">
        <w:t xml:space="preserve">Управление произвело переплату суммы договора согласованной сторонами. </w:t>
      </w:r>
      <w:r w:rsidR="00E10EE4" w:rsidRPr="00846D90">
        <w:t>Согласно условиям договора, сумма обязатель</w:t>
      </w:r>
      <w:proofErr w:type="gramStart"/>
      <w:r w:rsidR="00E10EE4" w:rsidRPr="00846D90">
        <w:t>ств ст</w:t>
      </w:r>
      <w:proofErr w:type="gramEnd"/>
      <w:r w:rsidR="00E10EE4" w:rsidRPr="00846D90">
        <w:t xml:space="preserve">орон составляет 6000,00 рублей, фактически оплачено Управлением 8331,57 рублей, фактически услуги оказаны на сумму 8331,57 рублей. </w:t>
      </w:r>
      <w:r w:rsidRPr="00846D90">
        <w:t>Соглашение об увеличении суммы обязатель</w:t>
      </w:r>
      <w:proofErr w:type="gramStart"/>
      <w:r w:rsidRPr="00846D90">
        <w:t>ств ст</w:t>
      </w:r>
      <w:proofErr w:type="gramEnd"/>
      <w:r w:rsidRPr="00846D90">
        <w:t>орон по договору заключено не было.</w:t>
      </w:r>
    </w:p>
    <w:p w:rsidR="00E10EE4" w:rsidRPr="00846D90" w:rsidRDefault="000A7FDD" w:rsidP="00E10EE4">
      <w:pPr>
        <w:ind w:firstLine="709"/>
        <w:jc w:val="both"/>
      </w:pPr>
      <w:proofErr w:type="gramStart"/>
      <w:r w:rsidRPr="00846D90">
        <w:t xml:space="preserve">- при исполнении договора </w:t>
      </w:r>
      <w:r w:rsidR="00E10EE4" w:rsidRPr="00846D90">
        <w:t xml:space="preserve">№ 889/т от 01 июля 2013 года, заключенного с ОАО «Ростелеком», </w:t>
      </w:r>
      <w:r w:rsidRPr="00846D90">
        <w:t xml:space="preserve">Управлением </w:t>
      </w:r>
      <w:r w:rsidR="00E10EE4" w:rsidRPr="00846D90">
        <w:t>был</w:t>
      </w:r>
      <w:r w:rsidRPr="00846D90">
        <w:t>и</w:t>
      </w:r>
      <w:r w:rsidR="00E10EE4" w:rsidRPr="00846D90">
        <w:t xml:space="preserve"> принят</w:t>
      </w:r>
      <w:r w:rsidRPr="00846D90">
        <w:t>ы</w:t>
      </w:r>
      <w:r w:rsidR="00E10EE4" w:rsidRPr="00846D90">
        <w:t xml:space="preserve"> к учету акт</w:t>
      </w:r>
      <w:r w:rsidRPr="00846D90">
        <w:t>ы</w:t>
      </w:r>
      <w:r w:rsidR="00E10EE4" w:rsidRPr="00846D90">
        <w:t xml:space="preserve"> оказанных услуг (акт от 31 июля 2013 года на сумму 3808,63</w:t>
      </w:r>
      <w:r w:rsidR="008444FE">
        <w:t xml:space="preserve"> рублей</w:t>
      </w:r>
      <w:r w:rsidR="00E10EE4" w:rsidRPr="00846D90">
        <w:t xml:space="preserve"> и акт от 31 июля 2013 года на сумму 1543,55</w:t>
      </w:r>
      <w:r w:rsidR="008444FE">
        <w:t xml:space="preserve"> рублей</w:t>
      </w:r>
      <w:bookmarkStart w:id="0" w:name="_GoBack"/>
      <w:bookmarkEnd w:id="0"/>
      <w:r w:rsidR="00E10EE4" w:rsidRPr="00846D90">
        <w:t>), при составлении которых была допущена техническая ошибка (не верно указана дата договора, по которому оказывались услуги).</w:t>
      </w:r>
      <w:proofErr w:type="gramEnd"/>
    </w:p>
    <w:p w:rsidR="00E10EE4" w:rsidRPr="00846D90" w:rsidRDefault="000A7FDD" w:rsidP="00E10EE4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67460046 от 01 октября 2013 года, заключенного с ОАО «Сбербанк России», </w:t>
      </w:r>
      <w:r w:rsidRPr="00846D90">
        <w:t xml:space="preserve">Управление произвело переплату суммы договора согласованной сторонами. </w:t>
      </w:r>
      <w:r w:rsidR="00E10EE4" w:rsidRPr="00846D90">
        <w:t>Согласно условиям договора, сумма обязатель</w:t>
      </w:r>
      <w:proofErr w:type="gramStart"/>
      <w:r w:rsidR="00E10EE4" w:rsidRPr="00846D90">
        <w:t>ств ст</w:t>
      </w:r>
      <w:proofErr w:type="gramEnd"/>
      <w:r w:rsidR="00E10EE4" w:rsidRPr="00846D90">
        <w:t xml:space="preserve">орон составляет 70000,00 рублей, фактически оплачено Управлением 76464,97 рублей, фактически услуги оказаны на сумму 76464,97 рублей. </w:t>
      </w:r>
      <w:r w:rsidRPr="00846D90">
        <w:t>Соглашение об увеличении суммы обязатель</w:t>
      </w:r>
      <w:proofErr w:type="gramStart"/>
      <w:r w:rsidRPr="00846D90">
        <w:t>ств ст</w:t>
      </w:r>
      <w:proofErr w:type="gramEnd"/>
      <w:r w:rsidRPr="00846D90">
        <w:t>орон по договору заключено не было.</w:t>
      </w:r>
    </w:p>
    <w:p w:rsidR="00E10EE4" w:rsidRPr="00846D90" w:rsidRDefault="000A7FDD" w:rsidP="00E10EE4">
      <w:pPr>
        <w:ind w:firstLine="709"/>
        <w:jc w:val="both"/>
      </w:pPr>
      <w:r w:rsidRPr="00846D90">
        <w:t xml:space="preserve">- при окончании срока действия договора </w:t>
      </w:r>
      <w:r w:rsidR="00E10EE4" w:rsidRPr="00846D90">
        <w:t xml:space="preserve">№ 16-24Б/2013 от 01 ноября 2013 года, заключенного с ОАО «Тюменская </w:t>
      </w:r>
      <w:proofErr w:type="spellStart"/>
      <w:r w:rsidR="00E10EE4" w:rsidRPr="00846D90">
        <w:t>энергосбытовая</w:t>
      </w:r>
      <w:proofErr w:type="spellEnd"/>
      <w:r w:rsidR="00E10EE4" w:rsidRPr="00846D90">
        <w:t xml:space="preserve"> компания», </w:t>
      </w:r>
      <w:r w:rsidRPr="00846D90">
        <w:t xml:space="preserve">не было заключено соглашение о расторжении договора на сумму неисполненных обязательств, принятых на себя сторонами. </w:t>
      </w:r>
      <w:r w:rsidR="00E10EE4" w:rsidRPr="00846D90">
        <w:t>Согласно условиям договора, сумма обязательств составляет 4184,37 рублей, фактически обязательства по договору исполнены сторонами на сумму 3939,53 рублей. Сумма неисполненных обязательств составляет 244,84 рублей.</w:t>
      </w:r>
    </w:p>
    <w:p w:rsidR="00E10EE4" w:rsidRPr="00846D90" w:rsidRDefault="00522B3C" w:rsidP="00E10EE4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3583993 от 27 декабря 2013 года, заключенного с ОАО «Ростелеком», </w:t>
      </w:r>
      <w:r w:rsidRPr="00846D90">
        <w:t>Управление принимало и оплачивало услуги</w:t>
      </w:r>
      <w:r w:rsidR="00E10EE4" w:rsidRPr="00846D90">
        <w:t xml:space="preserve"> в период, не предусмотренный договором (</w:t>
      </w:r>
      <w:r w:rsidR="00E72AB0">
        <w:t xml:space="preserve">договором установлен </w:t>
      </w:r>
      <w:r w:rsidR="00E10EE4" w:rsidRPr="00846D90">
        <w:t>срок оказания услуг до 30 июня 2014 года, фактически услуги оказывались до 31 декабря 2014 года).</w:t>
      </w:r>
      <w:r w:rsidRPr="00846D90">
        <w:t xml:space="preserve"> Соглашение об изменении сроков оказания услуг по договору заключено не было.</w:t>
      </w:r>
    </w:p>
    <w:p w:rsidR="00E10EE4" w:rsidRPr="00846D90" w:rsidRDefault="00522B3C" w:rsidP="00E10EE4">
      <w:pPr>
        <w:ind w:firstLine="709"/>
        <w:jc w:val="both"/>
      </w:pPr>
      <w:r w:rsidRPr="00846D90">
        <w:t xml:space="preserve">- при окончании срока действия договора </w:t>
      </w:r>
      <w:r w:rsidR="00E10EE4" w:rsidRPr="00846D90">
        <w:t xml:space="preserve">№ 190 от 27 декабря 2013 года, заключенного с ОАО «Ростелеком», </w:t>
      </w:r>
      <w:r w:rsidRPr="00846D90">
        <w:t xml:space="preserve">не было заключено соглашение о расторжении договора на сумму неисполненных обязательств, принятых на себя сторонами. </w:t>
      </w:r>
      <w:r w:rsidR="00E10EE4" w:rsidRPr="00846D90">
        <w:t>Согласно условиям договора, сумма обязательств составляет 14000,00 рублей, фактически обязательства по договору исполнены сторонами на сумму 12177,51 рублей. Сумма неисполненных обязательств составляет 1822,49 рублей.</w:t>
      </w:r>
    </w:p>
    <w:p w:rsidR="00E10EE4" w:rsidRPr="00846D90" w:rsidRDefault="00522B3C" w:rsidP="00E10EE4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889/т от 27 декабря 2013 года, заключенного с ОАО «Ростелеком», </w:t>
      </w:r>
      <w:r w:rsidRPr="00846D90">
        <w:t xml:space="preserve">Управление произвело переплату суммы договора согласованной сторонами. </w:t>
      </w:r>
      <w:r w:rsidR="00E10EE4" w:rsidRPr="00846D90">
        <w:t>Согласно условиям договора, сумма обязатель</w:t>
      </w:r>
      <w:proofErr w:type="gramStart"/>
      <w:r w:rsidR="00E10EE4" w:rsidRPr="00846D90">
        <w:t>ств ст</w:t>
      </w:r>
      <w:proofErr w:type="gramEnd"/>
      <w:r w:rsidR="00E10EE4" w:rsidRPr="00846D90">
        <w:t xml:space="preserve">орон составляет 47000,00 рублей, фактически оплачено Управлением 61510,24 рублей, фактически услуги оказаны на сумму 61510,24 рублей. </w:t>
      </w:r>
      <w:r w:rsidRPr="00846D90">
        <w:t>Соглашение об увеличении суммы обязатель</w:t>
      </w:r>
      <w:proofErr w:type="gramStart"/>
      <w:r w:rsidRPr="00846D90">
        <w:t>ств ст</w:t>
      </w:r>
      <w:proofErr w:type="gramEnd"/>
      <w:r w:rsidRPr="00846D90">
        <w:t xml:space="preserve">орон по договору заключено не было. </w:t>
      </w:r>
      <w:r w:rsidR="00E10EE4" w:rsidRPr="00846D90">
        <w:t>Так же по данному договору оказывались и принимались услуги в период, не предусмотренный договором (договором установлен срок оказания услуг до 30 июня 2014 года, фактически услуги оказывались до 31 декабря 2014 года).</w:t>
      </w:r>
      <w:r w:rsidRPr="00846D90">
        <w:t xml:space="preserve"> Соглашение об изменении сроков оказания услуг по договору заключено не было.</w:t>
      </w:r>
    </w:p>
    <w:p w:rsidR="00E10EE4" w:rsidRPr="00846D90" w:rsidRDefault="00522B3C" w:rsidP="00522B3C">
      <w:pPr>
        <w:ind w:firstLine="709"/>
        <w:jc w:val="both"/>
      </w:pPr>
      <w:r w:rsidRPr="00846D90">
        <w:t xml:space="preserve">- при исполнении договора </w:t>
      </w:r>
      <w:r w:rsidR="00E10EE4" w:rsidRPr="00846D90">
        <w:t xml:space="preserve">№ 67460046 от 20 декабря 2013 года, заключенного с ОАО «Сбербанк России», </w:t>
      </w:r>
      <w:r w:rsidRPr="00846D90">
        <w:t xml:space="preserve">Управление произвело переплату суммы договора согласованной сторонами. </w:t>
      </w:r>
      <w:r w:rsidR="00E10EE4" w:rsidRPr="00846D90">
        <w:t>Согласно условиям договора, сумма обязатель</w:t>
      </w:r>
      <w:proofErr w:type="gramStart"/>
      <w:r w:rsidR="00E10EE4" w:rsidRPr="00846D90">
        <w:t>ств ст</w:t>
      </w:r>
      <w:proofErr w:type="gramEnd"/>
      <w:r w:rsidR="00E10EE4" w:rsidRPr="00846D90">
        <w:t xml:space="preserve">орон составляет 60000,00 рублей, фактически оплачено Управлением 94011,90 рублей, фактически услуги оказаны на </w:t>
      </w:r>
      <w:r w:rsidR="00E10EE4" w:rsidRPr="00846D90">
        <w:lastRenderedPageBreak/>
        <w:t xml:space="preserve">сумму 94011,90 рублей. </w:t>
      </w:r>
      <w:r w:rsidRPr="00846D90">
        <w:t>Соглашение об увеличении суммы обязатель</w:t>
      </w:r>
      <w:proofErr w:type="gramStart"/>
      <w:r w:rsidRPr="00846D90">
        <w:t>ств ст</w:t>
      </w:r>
      <w:proofErr w:type="gramEnd"/>
      <w:r w:rsidRPr="00846D90">
        <w:t xml:space="preserve">орон по договору заключено не было. </w:t>
      </w:r>
      <w:r w:rsidR="00E10EE4" w:rsidRPr="00846D90">
        <w:t>Так же по данному договору оказывались и принимались услуги в период, не предусмотренный договором (договором установлен срок оказания услуг до 30 марта 2014 года, фактически услуги оказывались до 20 июня 2014 года).</w:t>
      </w:r>
      <w:r w:rsidRPr="00846D90">
        <w:t xml:space="preserve"> Соглашение об изменении сроков оказания услуг по договору заключено не было.</w:t>
      </w:r>
    </w:p>
    <w:p w:rsidR="00E10EE4" w:rsidRPr="00846D90" w:rsidRDefault="00522B3C" w:rsidP="00E10EE4">
      <w:pPr>
        <w:ind w:firstLine="709"/>
        <w:jc w:val="both"/>
      </w:pPr>
      <w:r w:rsidRPr="00846D90">
        <w:t xml:space="preserve">- при окончании срока действия договора </w:t>
      </w:r>
      <w:r w:rsidR="00E10EE4" w:rsidRPr="00846D90">
        <w:t xml:space="preserve">№ 2014-63/ПУ от 01 декабря 2013 года, заключенного с ФГУП «Почта России», </w:t>
      </w:r>
      <w:r w:rsidRPr="00846D90">
        <w:t xml:space="preserve">не было заключено соглашение о расторжении договора на сумму неисполненных обязательств, принятых на себя сторонами. </w:t>
      </w:r>
      <w:r w:rsidR="00E10EE4" w:rsidRPr="00846D90">
        <w:t>Согласно условиям договора, сумма обязательств составляет 18000,00 рублей, фактически обязательства по договору исполнены сторонами на сумму 14627,29 рублей. Сумма неисполненных обязательств составляет 3372,71 рубля.</w:t>
      </w:r>
    </w:p>
    <w:p w:rsidR="00E10EE4" w:rsidRPr="00846D90" w:rsidRDefault="00522B3C" w:rsidP="00E10EE4">
      <w:pPr>
        <w:ind w:firstLine="709"/>
        <w:jc w:val="both"/>
      </w:pPr>
      <w:r w:rsidRPr="00846D90">
        <w:t xml:space="preserve">- при окончании срока действия договора </w:t>
      </w:r>
      <w:r w:rsidR="00E10EE4" w:rsidRPr="00846D90">
        <w:t xml:space="preserve">№ 63-2014/ЗПО от 01 декабря 2013 года, заключенного с ФГУП «Почта России», </w:t>
      </w:r>
      <w:r w:rsidRPr="00846D90">
        <w:t xml:space="preserve">не было заключено соглашение о расторжении договора на сумму неисполненных обязательств, принятых на себя сторонами. </w:t>
      </w:r>
      <w:r w:rsidR="00E10EE4" w:rsidRPr="00846D90">
        <w:t>Согласно условиям договора, сумма обязательств составляет 18000,00 рублей, фактически обязательства по договору исполнены сторонами на сумму 13946,95 рублей. Сумма неисполненных обязательств составляет 4053,05 рублей.</w:t>
      </w:r>
    </w:p>
    <w:p w:rsidR="00E10EE4" w:rsidRPr="00846D90" w:rsidRDefault="00522B3C" w:rsidP="00E10EE4">
      <w:pPr>
        <w:ind w:firstLine="709"/>
        <w:jc w:val="both"/>
      </w:pPr>
      <w:r w:rsidRPr="00846D90">
        <w:t xml:space="preserve">- при окончании срока действия договора </w:t>
      </w:r>
      <w:r w:rsidR="00E10EE4" w:rsidRPr="00846D90">
        <w:t xml:space="preserve">№ 2014-0063 от 01 декабря 2013 года, заключенного с ФГУП «Почта России», </w:t>
      </w:r>
      <w:r w:rsidRPr="00846D90">
        <w:t xml:space="preserve">не было заключено соглашение о расторжении договора на сумму неисполненных обязательств, принятых на себя сторонами. </w:t>
      </w:r>
      <w:r w:rsidR="00E10EE4" w:rsidRPr="00846D90">
        <w:t>Согласно условиям договора, сумма обязательств составляет 3000,00 рублей, фактически обязательства по договору исполнены сторонами на сумму 1380,00 рублей. Сумма неисполненных обязательств составляет 1620,00 рублей.</w:t>
      </w:r>
    </w:p>
    <w:p w:rsidR="00E10EE4" w:rsidRDefault="007A5157" w:rsidP="00E10EE4">
      <w:pPr>
        <w:ind w:firstLine="709"/>
        <w:jc w:val="both"/>
      </w:pPr>
      <w:r>
        <w:t>- о</w:t>
      </w:r>
      <w:r w:rsidR="00D44F46" w:rsidRPr="00846D90">
        <w:t xml:space="preserve">тсутствует акт оказанных услуг, подтверждающий исполнение договора </w:t>
      </w:r>
      <w:r w:rsidR="00E10EE4" w:rsidRPr="00846D90">
        <w:t>№ 25083 от 01 декабря 2014 года, заключенного с АУ ХМАО-Югры «Югорский научно-исследовательский институт информационных технологий», на сумму 7500,00 рублей.</w:t>
      </w:r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1C5E77">
        <w:rPr>
          <w:rFonts w:ascii="Times New Roman" w:hAnsi="Times New Roman" w:cs="Times New Roman"/>
          <w:sz w:val="24"/>
          <w:szCs w:val="24"/>
        </w:rPr>
        <w:t>Управлению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  <w:proofErr w:type="gramEnd"/>
    </w:p>
    <w:p w:rsidR="009A09D3" w:rsidRDefault="003C3B74" w:rsidP="003C3B74">
      <w:pPr>
        <w:pStyle w:val="a5"/>
        <w:ind w:left="0" w:firstLine="709"/>
        <w:jc w:val="both"/>
        <w:rPr>
          <w:b w:val="0"/>
        </w:rPr>
      </w:pPr>
      <w:r>
        <w:t xml:space="preserve">- </w:t>
      </w:r>
      <w:r w:rsidR="001C5E77">
        <w:rPr>
          <w:b w:val="0"/>
        </w:rPr>
        <w:t>к договорам</w:t>
      </w:r>
      <w:r w:rsidR="00CE2DB9">
        <w:rPr>
          <w:b w:val="0"/>
        </w:rPr>
        <w:t>,</w:t>
      </w:r>
      <w:r w:rsidR="001C5E77">
        <w:rPr>
          <w:b w:val="0"/>
        </w:rPr>
        <w:t xml:space="preserve"> </w:t>
      </w:r>
      <w:r w:rsidR="00CE0A68">
        <w:rPr>
          <w:b w:val="0"/>
        </w:rPr>
        <w:t>по которым вы</w:t>
      </w:r>
      <w:r w:rsidR="00CE2DB9">
        <w:rPr>
          <w:b w:val="0"/>
        </w:rPr>
        <w:t>явлена переплата, необходимо заключить дополнительные соглашения об увеличении сумм договоров в соответствии с фактически оказанными и оплаченными услугами</w:t>
      </w:r>
      <w:r>
        <w:rPr>
          <w:b w:val="0"/>
        </w:rPr>
        <w:t>;</w:t>
      </w:r>
    </w:p>
    <w:p w:rsidR="003C3B74" w:rsidRDefault="003C3B74" w:rsidP="000342AF">
      <w:pPr>
        <w:pStyle w:val="a5"/>
        <w:ind w:left="0" w:firstLine="709"/>
        <w:jc w:val="both"/>
        <w:rPr>
          <w:b w:val="0"/>
        </w:rPr>
      </w:pPr>
      <w:r>
        <w:t xml:space="preserve">- </w:t>
      </w:r>
      <w:r w:rsidR="00CE2DB9">
        <w:rPr>
          <w:b w:val="0"/>
        </w:rPr>
        <w:t xml:space="preserve">к  договорам, по которым </w:t>
      </w:r>
      <w:r w:rsidR="00E44847">
        <w:rPr>
          <w:b w:val="0"/>
        </w:rPr>
        <w:t>стороны исполнили свои обязательства не в полном объеме, необходимо заключить соглашения о расторжении договоров на сумму неисполненных обязатель</w:t>
      </w:r>
      <w:proofErr w:type="gramStart"/>
      <w:r w:rsidR="00E44847">
        <w:rPr>
          <w:b w:val="0"/>
        </w:rPr>
        <w:t>ств ст</w:t>
      </w:r>
      <w:proofErr w:type="gramEnd"/>
      <w:r w:rsidR="00E44847">
        <w:rPr>
          <w:b w:val="0"/>
        </w:rPr>
        <w:t>оронами</w:t>
      </w:r>
      <w:r>
        <w:rPr>
          <w:b w:val="0"/>
        </w:rPr>
        <w:t>;</w:t>
      </w:r>
    </w:p>
    <w:p w:rsidR="00E44847" w:rsidRDefault="00E44847" w:rsidP="000342AF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- к договорам, по которым оказывались и принимались услуги за рамками сроков оказания услуг установленных договорами, необходимо заключить соглашения об увеличении сроков оказания услуг;</w:t>
      </w:r>
    </w:p>
    <w:p w:rsidR="00E44847" w:rsidRDefault="00E44847" w:rsidP="000342AF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 xml:space="preserve">- восстановить акт оказанных услуг по договору </w:t>
      </w:r>
      <w:r w:rsidRPr="00E44847">
        <w:rPr>
          <w:b w:val="0"/>
        </w:rPr>
        <w:t>№ 25083 от 01 декабря 2014 года, заключенного с АУ ХМАО-Югры «Югорский научно-исследовательский институт информационных технологий», на сумму 7500,00 рублей</w:t>
      </w:r>
      <w:r>
        <w:rPr>
          <w:b w:val="0"/>
        </w:rPr>
        <w:t>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 закупок товаров, работ, услуг, принятие к учету</w:t>
      </w:r>
      <w:r w:rsidR="00785AB4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>, а так же оплату</w:t>
      </w:r>
      <w:r w:rsidR="00785AB4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 xml:space="preserve">, в целях </w:t>
      </w:r>
      <w:proofErr w:type="gramStart"/>
      <w:r w:rsidR="00846D90">
        <w:rPr>
          <w:rFonts w:ascii="Times New Roman" w:hAnsi="Times New Roman" w:cs="Times New Roman"/>
          <w:sz w:val="24"/>
          <w:szCs w:val="24"/>
        </w:rPr>
        <w:t>не допущения</w:t>
      </w:r>
      <w:proofErr w:type="gramEnd"/>
      <w:r w:rsidR="00846D90">
        <w:rPr>
          <w:rFonts w:ascii="Times New Roman" w:hAnsi="Times New Roman" w:cs="Times New Roman"/>
          <w:sz w:val="24"/>
          <w:szCs w:val="24"/>
        </w:rPr>
        <w:t xml:space="preserve"> в дальнейшем аналогичных нарушений.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 до </w:t>
      </w:r>
      <w:r w:rsidR="00D44F46">
        <w:rPr>
          <w:rFonts w:ascii="Times New Roman" w:hAnsi="Times New Roman" w:cs="Times New Roman"/>
          <w:sz w:val="24"/>
          <w:szCs w:val="24"/>
        </w:rPr>
        <w:t>20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D44F46">
        <w:rPr>
          <w:rFonts w:ascii="Times New Roman" w:hAnsi="Times New Roman" w:cs="Times New Roman"/>
          <w:sz w:val="24"/>
          <w:szCs w:val="24"/>
        </w:rPr>
        <w:t>марта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D44F46">
        <w:rPr>
          <w:rFonts w:ascii="Times New Roman" w:hAnsi="Times New Roman" w:cs="Times New Roman"/>
          <w:sz w:val="24"/>
          <w:szCs w:val="24"/>
        </w:rPr>
        <w:t>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00161D">
        <w:rPr>
          <w:rFonts w:ascii="Times New Roman" w:hAnsi="Times New Roman" w:cs="Times New Roman"/>
          <w:sz w:val="24"/>
          <w:szCs w:val="24"/>
        </w:rPr>
        <w:t xml:space="preserve"> с приложением подтверждающих документов</w:t>
      </w:r>
      <w:r w:rsidR="008874DA">
        <w:rPr>
          <w:rFonts w:ascii="Times New Roman" w:hAnsi="Times New Roman" w:cs="Times New Roman"/>
          <w:sz w:val="24"/>
          <w:szCs w:val="24"/>
        </w:rPr>
        <w:t>.</w:t>
      </w:r>
      <w:r w:rsidR="000016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 </w:t>
      </w:r>
      <w:r>
        <w:rPr>
          <w:noProof/>
        </w:rPr>
        <w:t xml:space="preserve">                            </w:t>
      </w:r>
      <w:r w:rsidRPr="00DC5691">
        <w:rPr>
          <w:noProof/>
        </w:rPr>
        <w:t xml:space="preserve">      Е.И. Янюшкина</w:t>
      </w:r>
    </w:p>
    <w:sectPr w:rsidR="009A4FF8" w:rsidSect="00DB200F">
      <w:pgSz w:w="11906" w:h="16838"/>
      <w:pgMar w:top="851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A7FDD"/>
    <w:rsid w:val="000F3744"/>
    <w:rsid w:val="00196700"/>
    <w:rsid w:val="001C5E77"/>
    <w:rsid w:val="001D6A4E"/>
    <w:rsid w:val="001E67E0"/>
    <w:rsid w:val="001F03D6"/>
    <w:rsid w:val="00266ED7"/>
    <w:rsid w:val="002B0A52"/>
    <w:rsid w:val="002D3354"/>
    <w:rsid w:val="00350C98"/>
    <w:rsid w:val="003623B9"/>
    <w:rsid w:val="00364B1D"/>
    <w:rsid w:val="00393353"/>
    <w:rsid w:val="003938C6"/>
    <w:rsid w:val="003C2274"/>
    <w:rsid w:val="003C3B74"/>
    <w:rsid w:val="00447748"/>
    <w:rsid w:val="00471719"/>
    <w:rsid w:val="005030AE"/>
    <w:rsid w:val="00522B3C"/>
    <w:rsid w:val="00525C4E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4382D"/>
    <w:rsid w:val="00785AB4"/>
    <w:rsid w:val="007A5157"/>
    <w:rsid w:val="007C71C8"/>
    <w:rsid w:val="008444FE"/>
    <w:rsid w:val="00846D90"/>
    <w:rsid w:val="00861F38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E30CE"/>
    <w:rsid w:val="00A04C90"/>
    <w:rsid w:val="00A8490A"/>
    <w:rsid w:val="00AC1DEC"/>
    <w:rsid w:val="00AF2465"/>
    <w:rsid w:val="00B84F3C"/>
    <w:rsid w:val="00BB0709"/>
    <w:rsid w:val="00BD09BC"/>
    <w:rsid w:val="00C2730F"/>
    <w:rsid w:val="00CB7EB7"/>
    <w:rsid w:val="00CE0A68"/>
    <w:rsid w:val="00CE2DB9"/>
    <w:rsid w:val="00D20D18"/>
    <w:rsid w:val="00D44F46"/>
    <w:rsid w:val="00D7261D"/>
    <w:rsid w:val="00DB200F"/>
    <w:rsid w:val="00DC7FB2"/>
    <w:rsid w:val="00DE7681"/>
    <w:rsid w:val="00E044C2"/>
    <w:rsid w:val="00E10EE4"/>
    <w:rsid w:val="00E44847"/>
    <w:rsid w:val="00E632D2"/>
    <w:rsid w:val="00E72AB0"/>
    <w:rsid w:val="00F26405"/>
    <w:rsid w:val="00F308E6"/>
    <w:rsid w:val="00F35929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1B16-A916-4C3C-BC09-963BB47E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12</cp:revision>
  <cp:lastPrinted>2014-04-29T10:38:00Z</cp:lastPrinted>
  <dcterms:created xsi:type="dcterms:W3CDTF">2014-04-29T03:53:00Z</dcterms:created>
  <dcterms:modified xsi:type="dcterms:W3CDTF">2015-02-26T05:37:00Z</dcterms:modified>
</cp:coreProperties>
</file>